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846F3" w14:textId="38554A5E" w:rsidR="00816D8A" w:rsidRPr="009A2B16" w:rsidRDefault="00816D8A" w:rsidP="00816D8A">
      <w:pPr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eastAsia="en-IN"/>
        </w:rPr>
      </w:pPr>
      <w:r w:rsidRPr="006949E7">
        <w:rPr>
          <w:rFonts w:ascii="Times New Roman" w:hAnsi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/>
          <w:b/>
          <w:sz w:val="24"/>
          <w:szCs w:val="24"/>
        </w:rPr>
        <w:t xml:space="preserve">7 </w:t>
      </w:r>
      <w:bookmarkStart w:id="0" w:name="_GoBack"/>
      <w:bookmarkEnd w:id="0"/>
      <w:r w:rsidRPr="009A2B16">
        <w:rPr>
          <w:rFonts w:ascii="Times New Roman" w:hAnsi="Times New Roman"/>
          <w:b/>
          <w:sz w:val="24"/>
          <w:szCs w:val="24"/>
        </w:rPr>
        <w:t xml:space="preserve">| </w:t>
      </w:r>
      <w:r w:rsidRPr="009A2B16">
        <w:rPr>
          <w:rFonts w:ascii="Times New Roman" w:eastAsia="Times New Roman" w:hAnsi="Times New Roman"/>
          <w:bCs/>
          <w:sz w:val="24"/>
          <w:szCs w:val="24"/>
          <w:lang w:eastAsia="en-IN"/>
        </w:rPr>
        <w:t>S</w:t>
      </w:r>
      <w:r w:rsidRPr="009A2B16">
        <w:rPr>
          <w:rFonts w:ascii="Times New Roman" w:eastAsia="Times New Roman" w:hAnsi="Times New Roman"/>
          <w:sz w:val="24"/>
          <w:szCs w:val="24"/>
          <w:lang w:eastAsia="en-IN"/>
        </w:rPr>
        <w:t xml:space="preserve">ubnetworks identified using MCODE plug-in in the PPI network of </w:t>
      </w:r>
      <w:r w:rsidRPr="009A2B16">
        <w:rPr>
          <w:rFonts w:ascii="Times New Roman" w:eastAsia="Times New Roman" w:hAnsi="Times New Roman"/>
          <w:i/>
          <w:sz w:val="24"/>
          <w:szCs w:val="24"/>
          <w:lang w:eastAsia="en-IN"/>
        </w:rPr>
        <w:t xml:space="preserve">A. </w:t>
      </w:r>
      <w:proofErr w:type="spellStart"/>
      <w:r w:rsidRPr="009A2B16">
        <w:rPr>
          <w:rFonts w:ascii="Times New Roman" w:eastAsia="Times New Roman" w:hAnsi="Times New Roman"/>
          <w:i/>
          <w:sz w:val="24"/>
          <w:szCs w:val="24"/>
          <w:lang w:eastAsia="en-IN"/>
        </w:rPr>
        <w:t>baumannii</w:t>
      </w:r>
      <w:proofErr w:type="spellEnd"/>
      <w:r w:rsidRPr="009A2B16">
        <w:rPr>
          <w:rFonts w:ascii="Times New Roman" w:eastAsia="Times New Roman" w:hAnsi="Times New Roman"/>
          <w:sz w:val="24"/>
          <w:szCs w:val="24"/>
          <w:lang w:eastAsia="en-IN"/>
        </w:rPr>
        <w:t xml:space="preserve"> ATCC 19606 and JU0126strain.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2"/>
        <w:gridCol w:w="1575"/>
        <w:gridCol w:w="1899"/>
        <w:gridCol w:w="2191"/>
        <w:gridCol w:w="2896"/>
      </w:tblGrid>
      <w:tr w:rsidR="00816D8A" w:rsidRPr="00781DD2" w14:paraId="58070381" w14:textId="77777777" w:rsidTr="00C10FF6">
        <w:tc>
          <w:tcPr>
            <w:tcW w:w="1612" w:type="dxa"/>
            <w:shd w:val="clear" w:color="auto" w:fill="auto"/>
          </w:tcPr>
          <w:p w14:paraId="21A69D83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Sub-network</w:t>
            </w:r>
          </w:p>
        </w:tc>
        <w:tc>
          <w:tcPr>
            <w:tcW w:w="1575" w:type="dxa"/>
            <w:shd w:val="clear" w:color="auto" w:fill="auto"/>
          </w:tcPr>
          <w:p w14:paraId="0FF57E23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MCODE score</w:t>
            </w:r>
          </w:p>
        </w:tc>
        <w:tc>
          <w:tcPr>
            <w:tcW w:w="1899" w:type="dxa"/>
            <w:shd w:val="clear" w:color="auto" w:fill="auto"/>
          </w:tcPr>
          <w:p w14:paraId="57F4CC7F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Number of proteins (Nodes)</w:t>
            </w:r>
          </w:p>
        </w:tc>
        <w:tc>
          <w:tcPr>
            <w:tcW w:w="2191" w:type="dxa"/>
            <w:shd w:val="clear" w:color="auto" w:fill="auto"/>
          </w:tcPr>
          <w:p w14:paraId="6555FE6C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Number of interactions (Edges)</w:t>
            </w:r>
          </w:p>
        </w:tc>
        <w:tc>
          <w:tcPr>
            <w:tcW w:w="2896" w:type="dxa"/>
            <w:shd w:val="clear" w:color="auto" w:fill="auto"/>
          </w:tcPr>
          <w:p w14:paraId="2F0E70B8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GO term Functions</w:t>
            </w:r>
          </w:p>
        </w:tc>
      </w:tr>
      <w:tr w:rsidR="00816D8A" w:rsidRPr="00781DD2" w14:paraId="20CD3EE4" w14:textId="77777777" w:rsidTr="00C10FF6">
        <w:tc>
          <w:tcPr>
            <w:tcW w:w="7277" w:type="dxa"/>
            <w:gridSpan w:val="4"/>
            <w:shd w:val="clear" w:color="auto" w:fill="auto"/>
          </w:tcPr>
          <w:p w14:paraId="201E62B4" w14:textId="77777777" w:rsidR="00816D8A" w:rsidRPr="00781DD2" w:rsidRDefault="00816D8A" w:rsidP="00C10F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IN"/>
              </w:rPr>
              <w:t>ATCC</w:t>
            </w:r>
          </w:p>
        </w:tc>
        <w:tc>
          <w:tcPr>
            <w:tcW w:w="2896" w:type="dxa"/>
            <w:shd w:val="clear" w:color="auto" w:fill="auto"/>
          </w:tcPr>
          <w:p w14:paraId="48BD4A03" w14:textId="77777777" w:rsidR="00816D8A" w:rsidRPr="00781DD2" w:rsidRDefault="00816D8A" w:rsidP="00C10F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</w:p>
        </w:tc>
      </w:tr>
      <w:tr w:rsidR="00816D8A" w:rsidRPr="00781DD2" w14:paraId="7CC6E8AE" w14:textId="77777777" w:rsidTr="00C10FF6">
        <w:tc>
          <w:tcPr>
            <w:tcW w:w="1612" w:type="dxa"/>
            <w:shd w:val="clear" w:color="auto" w:fill="auto"/>
          </w:tcPr>
          <w:p w14:paraId="7CF27695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CLUSTER 1</w:t>
            </w:r>
          </w:p>
        </w:tc>
        <w:tc>
          <w:tcPr>
            <w:tcW w:w="1575" w:type="dxa"/>
            <w:shd w:val="clear" w:color="auto" w:fill="auto"/>
          </w:tcPr>
          <w:p w14:paraId="7CBC3673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51.321</w:t>
            </w:r>
          </w:p>
        </w:tc>
        <w:tc>
          <w:tcPr>
            <w:tcW w:w="1899" w:type="dxa"/>
            <w:shd w:val="clear" w:color="auto" w:fill="auto"/>
          </w:tcPr>
          <w:p w14:paraId="5B81D196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2191" w:type="dxa"/>
            <w:shd w:val="clear" w:color="auto" w:fill="auto"/>
          </w:tcPr>
          <w:p w14:paraId="1E52526B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1360</w:t>
            </w:r>
          </w:p>
        </w:tc>
        <w:tc>
          <w:tcPr>
            <w:tcW w:w="2896" w:type="dxa"/>
            <w:shd w:val="clear" w:color="auto" w:fill="auto"/>
          </w:tcPr>
          <w:p w14:paraId="57308E10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ribosomal proteins, RNA polymerases, intracellular organelles, tRNA binding, regulation of translation</w:t>
            </w:r>
          </w:p>
        </w:tc>
      </w:tr>
      <w:tr w:rsidR="00816D8A" w:rsidRPr="00781DD2" w14:paraId="1E7B8CFE" w14:textId="77777777" w:rsidTr="00C10FF6">
        <w:tc>
          <w:tcPr>
            <w:tcW w:w="1612" w:type="dxa"/>
            <w:shd w:val="clear" w:color="auto" w:fill="auto"/>
          </w:tcPr>
          <w:p w14:paraId="75D9587D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CLUSTER 2</w:t>
            </w:r>
          </w:p>
        </w:tc>
        <w:tc>
          <w:tcPr>
            <w:tcW w:w="1575" w:type="dxa"/>
            <w:shd w:val="clear" w:color="auto" w:fill="auto"/>
          </w:tcPr>
          <w:p w14:paraId="2E24A83A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10.600</w:t>
            </w:r>
          </w:p>
        </w:tc>
        <w:tc>
          <w:tcPr>
            <w:tcW w:w="1899" w:type="dxa"/>
            <w:shd w:val="clear" w:color="auto" w:fill="auto"/>
          </w:tcPr>
          <w:p w14:paraId="4F567370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191" w:type="dxa"/>
            <w:shd w:val="clear" w:color="auto" w:fill="auto"/>
          </w:tcPr>
          <w:p w14:paraId="42977CA2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2896" w:type="dxa"/>
            <w:shd w:val="clear" w:color="auto" w:fill="auto"/>
          </w:tcPr>
          <w:p w14:paraId="489530BD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cell envelope organization</w:t>
            </w:r>
          </w:p>
        </w:tc>
      </w:tr>
      <w:tr w:rsidR="00816D8A" w:rsidRPr="00781DD2" w14:paraId="5DC5F0C5" w14:textId="77777777" w:rsidTr="00C10FF6">
        <w:tc>
          <w:tcPr>
            <w:tcW w:w="1612" w:type="dxa"/>
            <w:shd w:val="clear" w:color="auto" w:fill="auto"/>
          </w:tcPr>
          <w:p w14:paraId="04DCA6F2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CLUSTER 3</w:t>
            </w:r>
          </w:p>
        </w:tc>
        <w:tc>
          <w:tcPr>
            <w:tcW w:w="1575" w:type="dxa"/>
            <w:shd w:val="clear" w:color="auto" w:fill="auto"/>
          </w:tcPr>
          <w:p w14:paraId="1FFD4E02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9.882</w:t>
            </w:r>
          </w:p>
        </w:tc>
        <w:tc>
          <w:tcPr>
            <w:tcW w:w="1899" w:type="dxa"/>
            <w:shd w:val="clear" w:color="auto" w:fill="auto"/>
          </w:tcPr>
          <w:p w14:paraId="53A67020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2191" w:type="dxa"/>
            <w:shd w:val="clear" w:color="auto" w:fill="auto"/>
          </w:tcPr>
          <w:p w14:paraId="33286DD1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2896" w:type="dxa"/>
            <w:shd w:val="clear" w:color="auto" w:fill="auto"/>
          </w:tcPr>
          <w:p w14:paraId="3109BDDF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response to toxic substance</w:t>
            </w:r>
          </w:p>
        </w:tc>
      </w:tr>
      <w:tr w:rsidR="00816D8A" w:rsidRPr="00781DD2" w14:paraId="2FD3A8A2" w14:textId="77777777" w:rsidTr="00C10FF6">
        <w:tc>
          <w:tcPr>
            <w:tcW w:w="1612" w:type="dxa"/>
            <w:shd w:val="clear" w:color="auto" w:fill="auto"/>
          </w:tcPr>
          <w:p w14:paraId="0DB2B0D4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CLUSTER 4</w:t>
            </w:r>
          </w:p>
        </w:tc>
        <w:tc>
          <w:tcPr>
            <w:tcW w:w="1575" w:type="dxa"/>
            <w:shd w:val="clear" w:color="auto" w:fill="auto"/>
          </w:tcPr>
          <w:p w14:paraId="1B3660C7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7.200</w:t>
            </w:r>
          </w:p>
        </w:tc>
        <w:tc>
          <w:tcPr>
            <w:tcW w:w="1899" w:type="dxa"/>
            <w:shd w:val="clear" w:color="auto" w:fill="auto"/>
          </w:tcPr>
          <w:p w14:paraId="102B68C5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191" w:type="dxa"/>
            <w:shd w:val="clear" w:color="auto" w:fill="auto"/>
          </w:tcPr>
          <w:p w14:paraId="6C5F0310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2896" w:type="dxa"/>
            <w:shd w:val="clear" w:color="auto" w:fill="auto"/>
          </w:tcPr>
          <w:p w14:paraId="1405712E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Proteins of unknown functions </w:t>
            </w:r>
          </w:p>
        </w:tc>
      </w:tr>
      <w:tr w:rsidR="00816D8A" w:rsidRPr="00781DD2" w14:paraId="1CA35EDE" w14:textId="77777777" w:rsidTr="00C10FF6">
        <w:tc>
          <w:tcPr>
            <w:tcW w:w="7277" w:type="dxa"/>
            <w:gridSpan w:val="4"/>
            <w:shd w:val="clear" w:color="auto" w:fill="auto"/>
          </w:tcPr>
          <w:p w14:paraId="65F92E29" w14:textId="77777777" w:rsidR="00816D8A" w:rsidRPr="00781DD2" w:rsidRDefault="00816D8A" w:rsidP="00C10F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IN"/>
              </w:rPr>
              <w:t>JU0126</w:t>
            </w:r>
          </w:p>
        </w:tc>
        <w:tc>
          <w:tcPr>
            <w:tcW w:w="2896" w:type="dxa"/>
            <w:shd w:val="clear" w:color="auto" w:fill="auto"/>
          </w:tcPr>
          <w:p w14:paraId="236CB689" w14:textId="77777777" w:rsidR="00816D8A" w:rsidRPr="00781DD2" w:rsidRDefault="00816D8A" w:rsidP="00C10FF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</w:p>
        </w:tc>
      </w:tr>
      <w:tr w:rsidR="00816D8A" w:rsidRPr="00781DD2" w14:paraId="511EFAB9" w14:textId="77777777" w:rsidTr="00C10FF6">
        <w:tc>
          <w:tcPr>
            <w:tcW w:w="1612" w:type="dxa"/>
            <w:shd w:val="clear" w:color="auto" w:fill="auto"/>
          </w:tcPr>
          <w:p w14:paraId="427B2DDC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CLUSTER 1</w:t>
            </w:r>
          </w:p>
        </w:tc>
        <w:tc>
          <w:tcPr>
            <w:tcW w:w="1575" w:type="dxa"/>
            <w:shd w:val="clear" w:color="auto" w:fill="auto"/>
          </w:tcPr>
          <w:p w14:paraId="0A9B2824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23.333</w:t>
            </w:r>
          </w:p>
        </w:tc>
        <w:tc>
          <w:tcPr>
            <w:tcW w:w="1899" w:type="dxa"/>
            <w:shd w:val="clear" w:color="auto" w:fill="auto"/>
          </w:tcPr>
          <w:p w14:paraId="7D5FB109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2191" w:type="dxa"/>
            <w:shd w:val="clear" w:color="auto" w:fill="auto"/>
          </w:tcPr>
          <w:p w14:paraId="5B179CCE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280</w:t>
            </w:r>
          </w:p>
        </w:tc>
        <w:tc>
          <w:tcPr>
            <w:tcW w:w="2896" w:type="dxa"/>
            <w:shd w:val="clear" w:color="auto" w:fill="auto"/>
          </w:tcPr>
          <w:p w14:paraId="33E77276" w14:textId="77777777" w:rsidR="00816D8A" w:rsidRPr="00781DD2" w:rsidRDefault="00816D8A" w:rsidP="00C10FF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Ribosomal subunit, RNA polymerase, cellular macromolecular biosynthesis, cellular nitrogen compound biosynthetic process</w:t>
            </w:r>
          </w:p>
        </w:tc>
      </w:tr>
    </w:tbl>
    <w:p w14:paraId="2C856D97" w14:textId="77777777" w:rsidR="00816D8A" w:rsidRPr="009A2B16" w:rsidRDefault="00816D8A" w:rsidP="00816D8A">
      <w:pPr>
        <w:rPr>
          <w:rStyle w:val="label"/>
          <w:rFonts w:ascii="Times New Roman" w:hAnsi="Times New Roman"/>
          <w:color w:val="000000"/>
          <w:sz w:val="24"/>
          <w:szCs w:val="24"/>
        </w:rPr>
      </w:pPr>
    </w:p>
    <w:p w14:paraId="128BDC79" w14:textId="77777777" w:rsidR="00BE2734" w:rsidRDefault="00BE2734"/>
    <w:sectPr w:rsidR="00BE2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1NDIxMDUzMDI1tDBS0lEKTi0uzszPAykwrAUA8PR9nSwAAAA="/>
  </w:docVars>
  <w:rsids>
    <w:rsidRoot w:val="00816D8A"/>
    <w:rsid w:val="004852E8"/>
    <w:rsid w:val="00816D8A"/>
    <w:rsid w:val="00BE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D7B46"/>
  <w15:chartTrackingRefBased/>
  <w15:docId w15:val="{24792DEB-FEDE-4F58-AAE5-247EF6D8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16D8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816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Aparna</dc:creator>
  <cp:keywords/>
  <dc:description/>
  <cp:lastModifiedBy>Aparna</cp:lastModifiedBy>
  <cp:revision>1</cp:revision>
  <dcterms:created xsi:type="dcterms:W3CDTF">2019-09-21T04:06:00Z</dcterms:created>
  <dcterms:modified xsi:type="dcterms:W3CDTF">2019-09-21T04:07:00Z</dcterms:modified>
</cp:coreProperties>
</file>